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df" ContentType="application/pdf"/>
  <Override PartName="/word/media/rId72.pdf" ContentType="application/pdf"/>
  <Override PartName="/word/media/rId42.png" ContentType="image/png"/>
  <Override PartName="/word/media/rId39.png" ContentType="image/png"/>
  <Override PartName="/word/media/rId32.png" ContentType="image/png"/>
  <Override PartName="/word/media/rId35.png" ContentType="image/png"/>
  <Override PartName="/word/media/rId63.pdf" ContentType="application/pdf"/>
  <Override PartName="/word/media/rId60.pdf" ContentType="application/pdf"/>
  <Override PartName="/word/media/rId56.png" ContentType="image/png"/>
  <Override PartName="/word/media/rId27.png" ContentType="image/png"/>
  <Override PartName="/word/media/rId66.pdf" ContentType="application/pdf"/>
  <Override PartName="/word/media/rId75.pdf" ContentType="application/pdf"/>
  <Override PartName="/word/media/rId86.pdf" ContentType="application/pdf"/>
  <Override PartName="/word/media/rId49.pdf" ContentType="application/pdf"/>
  <Override PartName="/word/media/rId46.png" ContentType="image/png"/>
  <Override PartName="/word/media/rId80.pdf" ContentType="application/pdf"/>
  <Override PartName="/word/media/rId91.png" ContentType="image/png"/>
  <Override PartName="/word/media/rId8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28</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(7000–1000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(7000–1000 BCE)</w:t>
      </w:r>
    </w:p>
    <w:bookmarkStart w:id="22" w:name="introduction"/>
    <w:p>
      <w:pPr>
        <w:pStyle w:val="Heading1"/>
      </w:pPr>
      <w:r>
        <w:rPr>
          <w:rStyle w:val="SectionNumber"/>
        </w:rPr>
        <w:t xml:space="preserve">1</w:t>
      </w:r>
      <w:r>
        <w:tab/>
      </w:r>
      <w:r>
        <w:t xml:space="preserve">Introduction</w:t>
      </w:r>
    </w:p>
    <w:bookmarkStart w:id="21" w:name="prehistoric-demography"/>
    <w:p>
      <w:pPr>
        <w:pStyle w:val="Heading2"/>
      </w:pPr>
      <w:r>
        <w:rPr>
          <w:rStyle w:val="SectionNumber"/>
        </w:rPr>
        <w:t xml:space="preserve">1.1</w:t>
      </w:r>
      <w:r>
        <w:tab/>
      </w:r>
      <w:r>
        <w:t xml:space="preserve">Prehistoric demography</w:t>
      </w:r>
    </w:p>
    <w:p>
      <w:pPr>
        <w:pStyle w:val="FirstParagraph"/>
      </w:pPr>
      <w:r>
        <w:t xml:space="preserve">Prehistorians have long recognised demography as a fundamental force in human cultural evolution</w:t>
      </w:r>
      <w:r>
        <w:t xml:space="preserve"> </w:t>
      </w:r>
      <w:r>
        <w:t xml:space="preserve">(Childe, 1936)</w:t>
      </w:r>
      <w:r>
        <w:t xml:space="preserve">. However, despite decades of interest in the demographic dynamics of prehistoric societies, concrete estimates of population size and population density before written records remain elusive. Though the archaeological record provides multiple possible demographic proxies</w:t>
      </w:r>
      <w:r>
        <w:t xml:space="preserve"> </w:t>
      </w:r>
      <w:r>
        <w:t xml:space="preserve">(Hassan, 1981)</w:t>
      </w:r>
      <w:r>
        <w:t xml:space="preserve">, lack of access to this data, and a lack of methodological tools for turning it into quantitative estimates, has often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Early 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w:t>
      </w:r>
      <w:r>
        <w:t xml:space="preserve"> </w:t>
      </w:r>
      <w:r>
        <w:t xml:space="preserve">Cook and Heizer (1968)</w:t>
      </w:r>
      <w:r>
        <w:t xml:space="preserve"> </w:t>
      </w:r>
      <w:r>
        <w:t xml:space="preserve">and Naroll</w:t>
      </w:r>
      <w:r>
        <w:t xml:space="preserve"> </w:t>
      </w:r>
      <w:r>
        <w:t xml:space="preserve">(1962)</w:t>
      </w:r>
      <w:r>
        <w:t xml:space="preserve"> </w:t>
      </w:r>
      <w:r>
        <w:t xml:space="preserve">provided rules derived from ethnographic contexts for estimating the size of prehistoric populations. Cook and Heizer (1966) also made the first attempt to estimate the population growth rate during the Neolithic</w:t>
      </w:r>
      <w:r>
        <w:t xml:space="preserve"> </w:t>
      </w:r>
      <w:r>
        <w:t xml:space="preserve">(Hassan, 1981)</w:t>
      </w:r>
      <w:r>
        <w:t xml:space="preserve">. These approaches became increasingly common after the 1960s, with the emergence of processual archaeology and its focus on human–environment relations and population ecology</w:t>
      </w:r>
      <w:r>
        <w:t xml:space="preserve"> </w:t>
      </w:r>
      <w:r>
        <w:t xml:space="preserve">(Hassan, 1981)</w:t>
      </w:r>
      <w:r>
        <w:t xml:space="preserve">.</w:t>
      </w:r>
    </w:p>
    <w:p>
      <w:pPr>
        <w:pStyle w:val="BodyText"/>
      </w:pPr>
      <w:r>
        <w:t xml:space="preserve">Following a spell out of fashion with the post-processual turn, prehistoric demography has experienced a revival in recent years as part of the cultural evolution paradigm</w:t>
      </w:r>
      <w:r>
        <w:t xml:space="preserve"> </w:t>
      </w:r>
      <w:r>
        <w:t xml:space="preserve">(Riede, 2009 and others in same issue; Shennan, 2000)</w:t>
      </w:r>
      <w:r>
        <w:t xml:space="preserve">. Part of this resurgence can be explained by a renewed interest in human–environment relations and human impact on the natural environment, which necessarily requires an assessment of population size. Kintigh et al.</w:t>
      </w:r>
      <w:r>
        <w:t xml:space="preserve"> </w:t>
      </w:r>
      <w:r>
        <w:t xml:space="preserve">(2014)</w:t>
      </w:r>
      <w:r>
        <w:t xml:space="preserve">, for example, 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But methodological advances have certainly also played a role. In the last decade,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which uses the frequency of radiocarbon dates as a proxy for population dynamics, was taken up and significantly developed in a series of publications from the UCL group</w:t>
      </w:r>
      <w:r>
        <w:t xml:space="preserve"> </w:t>
      </w:r>
      <w:r>
        <w:t xml:space="preserve">(e.g. Shennan et al., 2013)</w:t>
      </w:r>
      <w:r>
        <w:t xml:space="preserve">, and has since been widely applied to archaeological contexts around the world</w:t>
      </w:r>
      <w:r>
        <w:t xml:space="preserve"> </w:t>
      </w:r>
      <w:r>
        <w:t xml:space="preserve">(Crema, 2022)</w:t>
      </w:r>
      <w:r>
        <w:t xml:space="preserve">.</w:t>
      </w:r>
    </w:p>
    <w:p>
      <w:pPr>
        <w:pStyle w:val="BodyText"/>
      </w:pPr>
      <w:r>
        <w:t xml:space="preserve">The</w:t>
      </w:r>
      <w:r>
        <w:t xml:space="preserve"> </w:t>
      </w:r>
      <w:r>
        <w:t xml:space="preserve">‘</w:t>
      </w:r>
      <w:r>
        <w:t xml:space="preserve">dates as data</w:t>
      </w:r>
      <w:r>
        <w:t xml:space="preserve">’</w:t>
      </w:r>
      <w:r>
        <w:t xml:space="preserve"> </w:t>
      </w:r>
      <w:r>
        <w:t xml:space="preserve">or summed radiocarbon approach has contributed greatly to our understanding of prehistoric demography, but it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certain fundamental problems common to all approaches that rely on a single proxy</w:t>
      </w:r>
      <w:r>
        <w:t xml:space="preserve"> </w:t>
      </w:r>
      <w:r>
        <w:t xml:space="preserve">Schmidt et al. (2021)</w:t>
      </w:r>
      <w:r>
        <w:t xml:space="preserve">. We believe that these problems cannot be overcome by methodological refinements in this area alone. Instead, the Bayesian approach we develop in this paper offers a robust, quantitative methodology for inferring prehistoric population dynamics from multiple proxies, including summed radiocarbon dates.</w:t>
      </w:r>
    </w:p>
    <w:bookmarkEnd w:id="21"/>
    <w:bookmarkEnd w:id="22"/>
    <w:bookmarkStart w:id="26" w:name="background"/>
    <w:p>
      <w:pPr>
        <w:pStyle w:val="Heading1"/>
      </w:pPr>
      <w:r>
        <w:rPr>
          <w:rStyle w:val="SectionNumber"/>
        </w:rPr>
        <w:t xml:space="preserve">2</w:t>
      </w:r>
      <w:r>
        <w:tab/>
      </w:r>
      <w:r>
        <w:t xml:space="preserve">Background</w:t>
      </w:r>
    </w:p>
    <w:bookmarkStart w:id="23" w:name="X61fe06a986de0b8ada44a174de0f5b6ec8d4527"/>
    <w:p>
      <w:pPr>
        <w:pStyle w:val="Heading2"/>
      </w:pPr>
      <w:r>
        <w:rPr>
          <w:rStyle w:val="SectionNumber"/>
        </w:rPr>
        <w:t xml:space="preserve">2.1</w:t>
      </w:r>
      <w:r>
        <w:tab/>
      </w:r>
      <w:r>
        <w:t xml:space="preserve">Existing approaches to population estimation</w:t>
      </w:r>
    </w:p>
    <w:p>
      <w:pPr>
        <w:pStyle w:val="FirstParagraph"/>
      </w:pPr>
      <w:r>
        <w:t xml:space="preserve">Müller and Diachenko</w:t>
      </w:r>
      <w:r>
        <w:t xml:space="preserve"> </w:t>
      </w:r>
      <w:r>
        <w:t xml:space="preserve">(2019)</w:t>
      </w:r>
      <w:r>
        <w:t xml:space="preserve"> </w:t>
      </w:r>
      <w:r>
        <w:t xml:space="preserve">have compiled a list proxies currently used for the estimation of population size in prehistory. These can be roughly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are using only one source of evidence. Although multi-proxy approaches exist, in such cases the individual proxies only serve to support each other or the proxy used as the main estimator. There is no explicit combination of results to reduce the inaccuracy and biases inherent to single proxies.</w:t>
      </w:r>
    </w:p>
    <w:p>
      <w:pPr>
        <w:numPr>
          <w:ilvl w:val="0"/>
          <w:numId w:val="1001"/>
        </w:numPr>
        <w:pStyle w:val="Compact"/>
      </w:pPr>
      <w:r>
        <w:rPr>
          <w:bCs/>
          <w:b/>
        </w:rPr>
        <w:t xml:space="preserve">Uncertainty in measurements</w:t>
      </w:r>
      <w:r>
        <w:t xml:space="preserve">: All archaeological evidence comes with an inherent uncertainty which is carried through to derived measurements. However, in most studies of prehistoric population, individual curves are presented as estimates, and the potential error associated with these estimates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a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 scenario, there will be a qualitative assessment of the informative value of the proxy, but this does not sufficiently account for the complex nature of archaeological data.</w:t>
      </w:r>
    </w:p>
    <w:p>
      <w:pPr>
        <w:pStyle w:val="FirstParagraph"/>
      </w:pPr>
      <w:r>
        <w:t xml:space="preserve">Furthermore, the types of archaeological data commonly used as population proxies share a number of problematic characteristics. They are:</w:t>
      </w:r>
    </w:p>
    <w:p>
      <w:pPr>
        <w:numPr>
          <w:ilvl w:val="0"/>
          <w:numId w:val="1002"/>
        </w:numPr>
        <w:pStyle w:val="Compact"/>
      </w:pPr>
      <w:r>
        <w:rPr>
          <w:bCs/>
          <w:b/>
        </w:rPr>
        <w:t xml:space="preserve">Limited</w:t>
      </w:r>
      <w:r>
        <w:t xml:space="preserve">: We have only incomplete data that can be used for these purposes, and they are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and these are sometimes have a very high temporal resolution,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As a result, systematic distortions are the rule rather than the exception.</w:t>
      </w:r>
    </w:p>
    <w:p>
      <w:pPr>
        <w:numPr>
          <w:ilvl w:val="0"/>
          <w:numId w:val="1002"/>
        </w:numPr>
        <w:pStyle w:val="Compact"/>
      </w:pPr>
      <w:r>
        <w:rPr>
          <w:bCs/>
          <w:b/>
        </w:rPr>
        <w:t xml:space="preserve">Heterogeneous</w:t>
      </w:r>
      <w:r>
        <w:t xml:space="preserve">: A wide range of proxies can potentially inform us about population dynamics, all with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for it. The transfer functions that link the proxy data with the desired quantity (population) are unknown. At best, they may be estimated by comparison with historical examples or the (ethnographic) present. However, since living conditions, circumstances and economic parameters differ greatly between the recent history and prehistory, these transfer functions can only be considered a rough first approximation.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 The most common way to deal with this is to reject certain proxies for a certain time periods, but this is not performed on a consistent or quantitative basis.</w:t>
      </w:r>
    </w:p>
    <w:p>
      <w:pPr>
        <w:pStyle w:val="FirstParagraph"/>
      </w:pPr>
      <w:r>
        <w:t xml:space="preserve">Here we argue that many, if not all, of these problems can be ameliorated through a) the explicit, quantitative integration of multiple proxies; and b) the use of a Bayesian approach to take account of and estimate uncertainty.</w:t>
      </w:r>
    </w:p>
    <w:bookmarkEnd w:id="23"/>
    <w:bookmarkStart w:id="24"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also encountered in contemporary demography. In response, demographers have increasing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Specifically, Bayesian approaches are well suited for limited, unreliable and noisy data. Various sources of data,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automatically increases, but this does not prevent general modelling and estimation. Finally, hierarchically-structured model suites, in which sub-models are created for each individual proxy, can be used to estimate transfer functions between individual proxies and the value to be modelled, thanks to the interaction of a large number of data sources and evidence.</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The well-established application of a Bayesian approach in radiocarbon calibration, where it is used to model radiometric uncertainty based on stratigraphic information, represents a very similar use case in archaeology. More recently, archaeologists have also used Bayesian modelling techniques as a tool for testing hypotheses relating to demographic trends or underlying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in this paper in that, in these analyses, deductive models are generated and their plausibility is tested on the basis of</w:t>
      </w:r>
      <w:r>
        <w:t xml:space="preserve"> </w:t>
      </w:r>
      <w:r>
        <w:rPr>
          <w:vertAlign w:val="superscript"/>
        </w:rPr>
        <w:t xml:space="preserve">14</w:t>
      </w:r>
      <w:r>
        <w:t xml:space="preserve">C data only. This is a clear step forward in the direction of a model-based, and thus scientific, analysis. However, the use of only one proxy, and its use exclusively for testing hypotheses developed independently, creates problems comparable to those of the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We would like to better exploit the capabilities of Bayesian hierarchical models through a combination of inductive data analysis and model-passed data integration of different proxies.</w:t>
      </w:r>
    </w:p>
    <w:p>
      <w:pPr>
        <w:pStyle w:val="BodyText"/>
      </w:pPr>
      <w:r>
        <w:t xml:space="preserve">Here, we attempt to make Bayesian hierarchical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4"/>
    <w:bookmarkStart w:id="25" w:name="assumptions-of-a-bayesian-approach"/>
    <w:p>
      <w:pPr>
        <w:pStyle w:val="Heading2"/>
      </w:pPr>
      <w:r>
        <w:rPr>
          <w:rStyle w:val="SectionNumber"/>
        </w:rPr>
        <w:t xml:space="preserve">2.3</w:t>
      </w:r>
      <w:r>
        <w:tab/>
      </w:r>
      <w:r>
        <w:t xml:space="preserve">Assumptions of a Bayesian approach</w:t>
      </w:r>
    </w:p>
    <w:p>
      <w:pPr>
        <w:pStyle w:val="FirstParagraph"/>
      </w:pPr>
      <w:r>
        <w:t xml:space="preserve">The basis of Bayesian statistics is the premise that there is always some prior assumption about the probability of an event, even if it may be very rough. This assumption is then adjusted by observing the data. The concept of probability is not derived from theoretical, infinitely repeatable random experiments or distributions, but from the direct confrontation of the pre-assumptions (priors) with the available data. This involves checking how credible these prior assumptions are with regard to the available data</w:t>
      </w:r>
      <w:r>
        <w:t xml:space="preserve"> </w:t>
      </w:r>
      <w:r>
        <w:t xml:space="preserve">(likelihood, see also Bryant and Zhang, 2018, p. 66)</w:t>
      </w:r>
      <w:r>
        <w:t xml:space="preserve">. A small amount of data leads to a broad probability distribution that is not strongly localised and restricted. The intuitive procedure is thereby the shifting of credibility through evidence.</w:t>
      </w:r>
    </w:p>
    <w:p>
      <w:pPr>
        <w:pStyle w:val="BodyText"/>
      </w:pPr>
      <w:r>
        <w:t xml:space="preserve">At the heart of all Bayesian statistics is therefore the concept of updating a given prior assumption with new data and expressing this in probabilities</w:t>
      </w:r>
      <w:r>
        <w:t xml:space="preserve"> </w:t>
      </w:r>
      <w:r>
        <w:t xml:space="preserve">(cf. also Kruschke, 2015, especially 15–25)</w:t>
      </w:r>
      <w:r>
        <w:t xml:space="preserve">.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model learning from data. It is also in the nature of the approach that in real applications there is no point prediction, but in most cases a probability distribution for the prediction. Thus, we simultaneously obtained a result and an estimate of the confidence intervals, or rather the credibility interval, given the data.</w:t>
      </w:r>
    </w:p>
    <w:p>
      <w:pPr>
        <w:pStyle w:val="BodyText"/>
      </w:pPr>
      <w:r>
        <w:t xml:space="preserve">This Bayesian learning is iterative and sequential, so that the result of one Bayesian inference can form the prior of another, i.e. it is an additive process</w:t>
      </w:r>
      <w:r>
        <w:t xml:space="preserve"> </w:t>
      </w:r>
      <w:r>
        <w:t xml:space="preserve">(Kruschke, 2015, p. 17)</w:t>
      </w:r>
      <w:r>
        <w:t xml:space="preserve">. Moreover, at the conceptual level, this allows different sources of information to be combined</w:t>
      </w:r>
      <w:r>
        <w:t xml:space="preserve"> </w:t>
      </w:r>
      <w:r>
        <w:t xml:space="preserve">(Bryant and Zhang, 2018, pp. 219–224)</w:t>
      </w:r>
      <w:r>
        <w:t xml:space="preserve">. This enables that they can be mapped to the same set and the same real-world domain, e.g. probabilities. This fact has long been exploited by archaeology in using stratigraphic information to make radiometric dating more accurate</w:t>
      </w:r>
      <w:r>
        <w:t xml:space="preserve"> </w:t>
      </w:r>
      <w:r>
        <w:t xml:space="preserve">(Ramsey, 1995)</w:t>
      </w:r>
      <w:r>
        <w:t xml:space="preserv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 for the next one, a hierarchical formulation of problem domains is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loss of confidence or a reasonable width of credibility intervals</w:t>
      </w:r>
      <w:r>
        <w:t xml:space="preserve"> </w:t>
      </w:r>
      <w:r>
        <w:t xml:space="preserve">(Kruschke, 2015, p. 112)</w:t>
      </w:r>
      <w:r>
        <w:t xml:space="preserve">. For the estimation of these parameters, in turn, submodels have to be created which describe the relationship of the data to the characteristics of the parameter. This can be carried out over several levels, depending on necessity</w:t>
      </w:r>
      <w:r>
        <w:t xml:space="preserve"> </w:t>
      </w:r>
      <w:r>
        <w:t xml:space="preserve">(Kruschke, 2015, pp. 221–222)</w:t>
      </w:r>
      <w:r>
        <w:t xml:space="preserve">.</w:t>
      </w:r>
    </w:p>
    <w:bookmarkEnd w:id="25"/>
    <w:bookmarkEnd w:id="26"/>
    <w:bookmarkStart w:id="54" w:name="materials-population-proxy-data"/>
    <w:p>
      <w:pPr>
        <w:pStyle w:val="Heading1"/>
      </w:pPr>
      <w:r>
        <w:rPr>
          <w:rStyle w:val="SectionNumber"/>
        </w:rPr>
        <w:t xml:space="preserve">3</w:t>
      </w:r>
      <w:r>
        <w:tab/>
      </w:r>
      <w:r>
        <w:t xml:space="preserve">Materials: Population proxy data</w:t>
      </w:r>
    </w:p>
    <w:p>
      <w:pPr>
        <w:pStyle w:val="FirstParagraph"/>
      </w:pPr>
      <w:r>
        <w:t xml:space="preserve">The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averages an altitude of between 400 and 600 m a.s.l. It is a favourable area for settlement and agriculture and especially the Swiss Plateau is by far the most densely populated region of the Switzerland today. The Swiss Plateau between Lake Zurich and Lake Geneva will serve as a core region in our case study, because archaeological data from there is most abundant and accessible. Although it is a basin, depending on the region it has a very diverse natural landscape: shaped by glaciers during the ice ages, the many lakes and bogs that characterise the landscape today also provide excellent preservation conditions for the numerous Neolithic and Bronze Age lakeside settlements, as well as a rich pool of sources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8" name="Picture"/>
            <a:graphic>
              <a:graphicData uri="http://schemas.openxmlformats.org/drawingml/2006/picture">
                <pic:pic>
                  <pic:nvPicPr>
                    <pic:cNvPr descr="../figures/mapswissplateau-1.png" id="29"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7000–1000 BCE. The lower limit of this window was chosen to avoid the so-called</w:t>
      </w:r>
      <w:r>
        <w:t xml:space="preserve"> </w:t>
      </w:r>
      <w:r>
        <w:t xml:space="preserve">‘</w:t>
      </w:r>
      <w:r>
        <w:t xml:space="preserve">Hallstatt plateau</w:t>
      </w:r>
      <w:r>
        <w:t xml:space="preserve">’</w:t>
      </w:r>
      <w:r>
        <w:t xml:space="preserve"> </w:t>
      </w:r>
      <w:r>
        <w:t xml:space="preserve">on the Northern Hemisphere radiocarbon calibration curve, which would cause difficulties for the</w:t>
      </w:r>
      <w:r>
        <w:t xml:space="preserve"> </w:t>
      </w:r>
      <w:r>
        <w:rPr>
          <w:vertAlign w:val="superscript"/>
        </w:rPr>
        <w:t xml:space="preserve">14</w:t>
      </w:r>
      <w:r>
        <w:t xml:space="preserve">C proxy data. The upper limit was chosen to coincide with post-glacial changes in pollen spectra, before which the openness indicator is highly unlikely to reflect human influence before 7000 in the working area.</w:t>
      </w:r>
    </w:p>
    <w:p>
      <w:pPr>
        <w:pStyle w:val="BodyText"/>
      </w:pPr>
      <w:r>
        <w:t xml:space="preserve">In principle, a large number of different data sources can be integrated into the overall model as proxies,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sites based on typological dating;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30" w:name="dendro-dated-lakeshore-settlements"/>
    <w:p>
      <w:pPr>
        <w:pStyle w:val="Heading2"/>
      </w:pPr>
      <w:r>
        <w:rPr>
          <w:rStyle w:val="SectionNumber"/>
        </w:rPr>
        <w:t xml:space="preserve">3.1</w:t>
      </w:r>
      <w:r>
        <w:tab/>
      </w:r>
      <w:r>
        <w:t xml:space="preserve">Dendro-dated lakeshore settlements</w:t>
      </w:r>
    </w:p>
    <w:p>
      <w:pPr>
        <w:pStyle w:val="FirstParagraph"/>
      </w:pPr>
      <w:r>
        <w:t xml:space="preserve">With the vast areas of arable soils with small slope gradient compared to the Jura and the Alps, and a dense network of water bodies, the Swiss Plateau has always been a particularly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30"/>
    <w:bookmarkStart w:id="38"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1">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(see also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3" name="Picture"/>
            <a:graphic>
              <a:graphicData uri="http://schemas.openxmlformats.org/drawingml/2006/picture">
                <pic:pic>
                  <pic:nvPicPr>
                    <pic:cNvPr descr="../figures/c14map-1.png" id="34" name="Picture"/>
                    <pic:cNvPicPr>
                      <a:picLocks noChangeArrowheads="1" noChangeAspect="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3.3: Comparison of the scaled (non-centered z-transformed) number of 14C and dendro-dated sites over time in the dataset used." title="" id="36" name="Picture"/>
            <a:graphic>
              <a:graphicData uri="http://schemas.openxmlformats.org/drawingml/2006/picture">
                <pic:pic>
                  <pic:nvPicPr>
                    <pic:cNvPr descr="../figures/compdendroc14-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3.3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bookmarkEnd w:id="38"/>
    <w:bookmarkStart w:id="45"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4: The location of the sites from the find reports of the cantonal archaeology (heritage management). The locations are ‘fuzzed’ by ~1km." title="" id="40" name="Picture"/>
            <a:graphic>
              <a:graphicData uri="http://schemas.openxmlformats.org/drawingml/2006/picture">
                <pic:pic>
                  <pic:nvPicPr>
                    <pic:cNvPr descr="../figures/aoristmap-1.png" id="41"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The location of the sites from the find reports of the cantonal archaeology (heritage management). The locations are</w:t>
      </w:r>
      <w:r>
        <w:t xml:space="preserve"> </w:t>
      </w:r>
      <w:r>
        <w:t xml:space="preserve">‘</w:t>
      </w:r>
      <w:r>
        <w:t xml:space="preserve">fuzzed</w:t>
      </w:r>
      <w:r>
        <w:t xml:space="preserve">’</w:t>
      </w:r>
      <w:r>
        <w:t xml:space="preserve"> </w:t>
      </w:r>
      <w:r>
        <w:t xml:space="preserve">by ~1km.</w:t>
      </w:r>
    </w:p>
    <w:p>
      <w:pPr>
        <w:pStyle w:val="BodyText"/>
      </w:pPr>
      <w:r>
        <w:t xml:space="preserve">To add another archaeological indicator of occupation, we include relative dating information obtained from the Swiss cantonal archaeology/heritage management authorities (Figure</w:t>
      </w:r>
      <w:r>
        <w:t xml:space="preserve"> </w:t>
      </w:r>
      <w:r>
        <w:t xml:space="preserve">3.4</w:t>
      </w:r>
      <w:r>
        <w:t xml:space="preserve">). These are primarily derived from scattered surface finds, which often have a low dating accuracy. We incorporate this data into our model as a typologically dated aorist time series. The dating accuracy is only in the range of archaeological periods, but the advantage is that we are not bound to the conditions and problems of radiocarbon dating and thus methodological issues of sum calibration can be avoided. Furthermore, this data provides an independent indicator with regard to the methodology of the</w:t>
      </w:r>
      <w:r>
        <w:t xml:space="preserve"> </w:t>
      </w:r>
      <w:r>
        <w:rPr>
          <w:vertAlign w:val="superscript"/>
        </w:rPr>
        <w:t xml:space="preserve">14</w:t>
      </w:r>
      <w:r>
        <w:t xml:space="preserve">C data, even if they are influenced by similar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offered by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3.5: Aoristic sum of the archaeological sites used in this analysis." title="" id="43" name="Picture"/>
            <a:graphic>
              <a:graphicData uri="http://schemas.openxmlformats.org/drawingml/2006/picture">
                <pic:pic>
                  <pic:nvPicPr>
                    <pic:cNvPr descr="../figures/aoristcurve-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Aoristic sum of the archaeological sites used in this analysis.</w:t>
      </w:r>
    </w:p>
    <w:bookmarkEnd w:id="45"/>
    <w:bookmarkStart w:id="52" w:name="landscape-openness"/>
    <w:p>
      <w:pPr>
        <w:pStyle w:val="Heading2"/>
      </w:pPr>
      <w:r>
        <w:rPr>
          <w:rStyle w:val="SectionNumber"/>
        </w:rPr>
        <w:t xml:space="preserve">3.4</w:t>
      </w:r>
      <w:r>
        <w:tab/>
      </w:r>
      <w:r>
        <w:t xml:space="preserve">Landscape openness</w:t>
      </w:r>
    </w:p>
    <w:p>
      <w:pPr>
        <w:pStyle w:val="FirstParagraph"/>
      </w:pPr>
      <w:r>
        <w:t xml:space="preserve">The natural conditions of the lakes of the Swiss Plateau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3.6</w:t>
      </w:r>
      <w:r>
        <w:t xml:space="preserve">). This proxy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3.6: Location of the pollen profiles used for the openness indicator." title="" id="47" name="Picture"/>
            <a:graphic>
              <a:graphicData uri="http://schemas.openxmlformats.org/drawingml/2006/picture">
                <pic:pic>
                  <pic:nvPicPr>
                    <pic:cNvPr descr="../figures/pollensites-1.png" id="48"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extensiveness of agricultural activity in an area is related to human population density</w:t>
      </w:r>
      <w:r>
        <w:t xml:space="preserve"> </w:t>
      </w:r>
      <w:r>
        <w:t xml:space="preserve">(Zimmermann, 2004)</w:t>
      </w:r>
      <w:r>
        <w:t xml:space="preserve">. Evidence of land clearance in pollen diagrams can therefore provide further indications of population dynamics where humans can be assumed to be the main driver of this process, which is the case in much of Europe. The full procedure for deriving this proxy from several different pollen diagrams is detailed in a previous publication</w:t>
      </w:r>
      <w:r>
        <w:t xml:space="preserve"> </w:t>
      </w:r>
      <w:r>
        <w:t xml:space="preserve">(Heitz et al., 2021)</w:t>
      </w:r>
      <w:r>
        <w:t xml:space="preserve">. In this study, five pollen diagrams from sites mainly in the hinterland of the large Alpine lakes were used. The technical steps are also documented in the accompanying R compendium. The percentage pollen data, based on a pollen sum of all terrestrial taxa of the individual sites, was combined into one data set by means of a principal component analysis (Figure</w:t>
      </w:r>
      <w:r>
        <w:t xml:space="preserve"> </w:t>
      </w:r>
      <w:r>
        <w:t xml:space="preserve">3.7</w:t>
      </w:r>
      <w:r>
        <w:t xml:space="preserve">). Only terrestrial pollen taxa with a frequency of more than one third and, if present, with an average frequency of at least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clearance.</w:t>
      </w:r>
    </w:p>
    <w:p>
      <w:pPr>
        <w:pStyle w:val="CaptionedFigure"/>
      </w:pPr>
      <w:r>
        <w:drawing>
          <wp:inline>
            <wp:extent cx="5943600" cy="4195482"/>
            <wp:effectExtent b="0" l="0" r="0" t="0"/>
            <wp:docPr descr="Figure 3.7: Value on the first dimension of the PCA against dating of the samples for the individual pollen profiles and their combined average value as the openness indicator." title="" id="50" name="Picture"/>
            <a:graphic>
              <a:graphicData uri="http://schemas.openxmlformats.org/drawingml/2006/picture">
                <pic:pic>
                  <pic:nvPicPr>
                    <pic:cNvPr descr="../figures/pollenproxy.pdf" id="51" name="Picture"/>
                    <pic:cNvPicPr>
                      <a:picLocks noChangeArrowheads="1" noChangeAspect="1"/>
                    </pic:cNvPicPr>
                  </pic:nvPicPr>
                  <pic:blipFill>
                    <a:blip r:embed="rId4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3.7: Value on the first dimension of the PCA against dating of the samples for the individual pollen profiles and their combined average value as the openness indicator.</w:t>
      </w:r>
    </w:p>
    <w:bookmarkEnd w:id="52"/>
    <w:bookmarkStart w:id="53" w:name="other-proxies"/>
    <w:p>
      <w:pPr>
        <w:pStyle w:val="Heading2"/>
      </w:pPr>
      <w:r>
        <w:rPr>
          <w:rStyle w:val="SectionNumber"/>
        </w:rPr>
        <w:t xml:space="preserve">3.5</w:t>
      </w:r>
      <w:r>
        <w:tab/>
      </w:r>
      <w:r>
        <w:t xml:space="preserve">Other proxies</w:t>
      </w:r>
    </w:p>
    <w:p>
      <w:pPr>
        <w:pStyle w:val="FirstParagraph"/>
      </w:pPr>
      <w:r>
        <w:t xml:space="preserve">Unfortunately, there is no burial data available in the case study area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the active cultural choice to not use archaeological traceable burial pratices, prevent their use in this study. Nevertheless, we see a very high potential for other regions in the integration of demographic indicators from burial data in order to enlarge the canon of methods and the range of proxies.</w:t>
      </w:r>
    </w:p>
    <w:bookmarkEnd w:id="53"/>
    <w:bookmarkEnd w:id="54"/>
    <w:bookmarkStart w:id="79" w:name="methods-bayesian-model"/>
    <w:p>
      <w:pPr>
        <w:pStyle w:val="Heading1"/>
      </w:pPr>
      <w:r>
        <w:rPr>
          <w:rStyle w:val="SectionNumber"/>
        </w:rPr>
        <w:t xml:space="preserve">4</w:t>
      </w:r>
      <w:r>
        <w:tab/>
      </w:r>
      <w:r>
        <w:t xml:space="preserve">Methods: Bayesian model</w:t>
      </w:r>
    </w:p>
    <w:p>
      <w:pPr>
        <w:pStyle w:val="FirstParagraph"/>
      </w:pPr>
      <w:r>
        <w:t xml:space="preserve">The sum calibration, openness and the dendro-dated settlement data was smoothed by means of a moving average with a window of 50 years. The aoristic sum was not smoothed, because it already has a very coarse temporal resolution. The range of the smoothing window corresponded to the sample interval, with which a unified resolution of 50 years was obtained for all proxies as time slices for the model. In addition, all data was restricted to the window of observation of 7000–1000 BCE.</w:t>
      </w:r>
    </w:p>
    <w:p>
      <w:pPr>
        <w:pStyle w:val="BodyText"/>
      </w:pPr>
      <w:r>
        <w:t xml:space="preserve">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Consequently, we shift the causality and consideration of measurement error, which is certainly inherent in each of these proxies, to a preceding</w:t>
      </w:r>
      <w:r>
        <w:t xml:space="preserve"> </w:t>
      </w:r>
      <w:r>
        <w:t xml:space="preserve">‘</w:t>
      </w:r>
      <w:r>
        <w:t xml:space="preserve">process model</w:t>
      </w:r>
      <w:r>
        <w:t xml:space="preserve">’</w:t>
      </w:r>
      <w:r>
        <w:t xml:space="preserve">, in which a Poisson process describes the number of simultaneous settlements. In doing so, we establish a likelihood that estimates how credible the data is, given the model.</w:t>
      </w:r>
    </w:p>
    <w:bookmarkStart w:id="55"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through the entire time series.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this class of model makes it particularly useful and suitable for the purpose of demographic reconstruction using archaeological and other data which are reflective of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case study,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w:t>
      </w:r>
    </w:p>
    <w:p>
      <w:pPr>
        <w:pStyle w:val="BodyText"/>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w:t>
      </w:r>
      <w:r>
        <w:t xml:space="preserve"> </w:t>
      </w:r>
      <w:r>
        <w:t xml:space="preserve">‘</w:t>
      </w:r>
      <w:r>
        <w:t xml:space="preserve">number of sites</w:t>
      </w:r>
      <w:r>
        <w:t xml:space="preserve">’</w:t>
      </w:r>
      <w:r>
        <w:t xml:space="preserve"> </w:t>
      </w:r>
      <w:r>
        <w:t xml:space="preserve">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gives us the basic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The Poisson distribution is particularly suitable for modelling frequencies.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described in this case by the n dimensions of the n variables—then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will not exceed certain limits over the entire timespan, though it is not possible to specify this at this point.</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 time independent variable, again without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be unrealistic given our sampling interval (50 years), and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55"/>
    <w:bookmarkStart w:id="59" w:name="observational-model"/>
    <w:p>
      <w:pPr>
        <w:pStyle w:val="Heading2"/>
      </w:pPr>
      <w:r>
        <w:rPr>
          <w:rStyle w:val="SectionNumber"/>
        </w:rPr>
        <w:t xml:space="preserve">4.2</w:t>
      </w:r>
      <w:r>
        <w:tab/>
      </w:r>
      <w:r>
        <w:t xml:space="preserve">Observational model</w:t>
      </w:r>
    </w:p>
    <w:p>
      <w:pPr>
        <w:pStyle w:val="FirstParagraph"/>
      </w:pPr>
      <w:r>
        <w:t xml:space="preserve">During the development of our model, we experimented with but ultimately abandoned the idea of implementing dedicated observation models adapted to the conditions of the individual proxies and their generating processes. We found that underdetermination of currently usable data in the model, having many degrees of freedom, produced a high degree of equifinality in the solutions and thus led to a high path dependency in individual model runs. As a result, it was almost impossible to achieve convergence of the overall model. Nevertheless, we believe that in future applications of the model with more data, a larger geographical coverage and/or, especially, a regionalised approach with information transfer by means of partial pooling, this more specific approach would be a feasible and a very useful approach.</w:t>
      </w:r>
    </w:p>
    <w:p>
      <w:pPr>
        <w:pStyle w:val="BodyText"/>
      </w:pPr>
      <w:r>
        <w:t xml:space="preserve">The implementation we present in this paper instead represents a Poisson regression, where the proxies are used to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proxies to describe a settlement dynamic that is given by them. 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case study area (12649 km²). The estimated result of the model is thus comparable with estimates from other sources or the literature.</w:t>
      </w:r>
    </w:p>
    <w:p>
      <w:pPr>
        <w:pStyle w:val="CaptionedFigure"/>
      </w:pPr>
      <w:r>
        <w:drawing>
          <wp:inline>
            <wp:extent cx="4587290" cy="3669832"/>
            <wp:effectExtent b="0" l="0" r="0" t="0"/>
            <wp:docPr descr="Figure 4.1: Expert estimations for the population density on the Swiss Plateau from different authors." title="" id="57" name="Picture"/>
            <a:graphic>
              <a:graphicData uri="http://schemas.openxmlformats.org/drawingml/2006/picture">
                <pic:pic>
                  <pic:nvPicPr>
                    <pic:cNvPr descr="../figures/expertestimations-1.png" id="58" name="Picture"/>
                    <pic:cNvPicPr>
                      <a:picLocks noChangeArrowheads="1" noChangeAspect="1"/>
                    </pic:cNvPicPr>
                  </pic:nvPicPr>
                  <pic:blipFill>
                    <a:blip r:embed="rId5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4.1</w:t>
      </w:r>
      <w:r>
        <w:t xml:space="preserve">, we found they had little influence on the model and also significantly increased its runtime. We therefore excluded them in the implementation presented here, but again, given a larger geographical range and thus a higher information density, this proxy could be usefully integrated into future applications.</w:t>
      </w:r>
    </w:p>
    <w:bookmarkEnd w:id="59"/>
    <w:bookmarkStart w:id="78"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On a reasonably capable computer (Linux, Intel(R) Xeon(R) CPU E3-1240 v5 @ 3.50GHz, 4 cores, 8 threads), this takes approximately a minute.</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pStyle w:val="BodyText"/>
      </w:pPr>
      <w:r>
        <w:t xml:space="preserve">Due to the high correlation of the parameters and thus a low sampling efficiency, the collection of at least 10,000 effective samples for all parameters in the third step took about five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61" name="Picture"/>
                  <a:graphic>
                    <a:graphicData uri="http://schemas.openxmlformats.org/drawingml/2006/picture">
                      <pic:pic>
                        <pic:nvPicPr>
                          <pic:cNvPr descr="../figures/dpois50.pdf" id="62" name="Picture"/>
                          <pic:cNvPicPr>
                            <a:picLocks noChangeArrowheads="1" noChangeAspect="1"/>
                          </pic:cNvPicPr>
                        </pic:nvPicPr>
                        <pic:blipFill>
                          <a:blip r:embed="rId60"/>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4" name="Picture"/>
                  <a:graphic>
                    <a:graphicData uri="http://schemas.openxmlformats.org/drawingml/2006/picture">
                      <pic:pic>
                        <pic:nvPicPr>
                          <pic:cNvPr descr="../figures/dgammamaxgrowthrate.pdf" id="65" name="Picture"/>
                          <pic:cNvPicPr>
                            <a:picLocks noChangeArrowheads="1" noChangeAspect="1"/>
                          </pic:cNvPicPr>
                        </pic:nvPicPr>
                        <pic:blipFill>
                          <a:blip r:embed="rId63"/>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7" name="Picture"/>
                  <a:graphic>
                    <a:graphicData uri="http://schemas.openxmlformats.org/drawingml/2006/picture">
                      <pic:pic>
                        <pic:nvPicPr>
                          <pic:cNvPr descr="../figures/mualpha.pdf" id="68" name="Picture"/>
                          <pic:cNvPicPr>
                            <a:picLocks noChangeArrowheads="1" noChangeAspect="1"/>
                          </pic:cNvPicPr>
                        </pic:nvPicPr>
                        <pic:blipFill>
                          <a:blip r:embed="rId6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70" name="Picture"/>
                  <a:graphic>
                    <a:graphicData uri="http://schemas.openxmlformats.org/drawingml/2006/picture">
                      <pic:pic>
                        <pic:nvPicPr>
                          <pic:cNvPr descr="../figures/aalpha.pdf" id="71" name="Picture"/>
                          <pic:cNvPicPr>
                            <a:picLocks noChangeArrowheads="1" noChangeAspect="1"/>
                          </pic:cNvPicPr>
                        </pic:nvPicPr>
                        <pic:blipFill>
                          <a:blip r:embed="rId6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73" name="Picture"/>
                  <a:graphic>
                    <a:graphicData uri="http://schemas.openxmlformats.org/drawingml/2006/picture">
                      <pic:pic>
                        <pic:nvPicPr>
                          <pic:cNvPr descr="../figures/alpha.pdf" id="74" name="Picture"/>
                          <pic:cNvPicPr>
                            <a:picLocks noChangeArrowheads="1" noChangeAspect="1"/>
                          </pic:cNvPicPr>
                        </pic:nvPicPr>
                        <pic:blipFill>
                          <a:blip r:embed="rId72"/>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6" name="Picture"/>
                  <a:graphic>
                    <a:graphicData uri="http://schemas.openxmlformats.org/drawingml/2006/picture">
                      <pic:pic>
                        <pic:nvPicPr>
                          <pic:cNvPr descr="../figures/p.pdf" id="77" name="Picture"/>
                          <pic:cNvPicPr>
                            <a:picLocks noChangeArrowheads="1" noChangeAspect="1"/>
                          </pic:cNvPicPr>
                        </pic:nvPicPr>
                        <pic:blipFill>
                          <a:blip r:embed="rId75"/>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8"/>
    <w:bookmarkEnd w:id="79"/>
    <w:bookmarkStart w:id="89"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The estimate of the population density resulting from the model and the four proxies, which are also plotted (scaled) for comparison." title="" id="81" name="Picture"/>
            <a:graphic>
              <a:graphicData uri="http://schemas.openxmlformats.org/drawingml/2006/picture">
                <pic:pic>
                  <pic:nvPicPr>
                    <pic:cNvPr descr="../figures/popdens_estimation.pdf" id="82" name="Picture"/>
                    <pic:cNvPicPr>
                      <a:picLocks noChangeArrowheads="1" noChangeAspect="1"/>
                    </pic:cNvPicPr>
                  </pic:nvPicPr>
                  <pic:blipFill>
                    <a:blip r:embed="rId8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The estimate of the population density resulting from the model and the four proxies, which are also plotted (scaled) for comparison.</w:t>
      </w:r>
    </w:p>
    <w:p>
      <w:pPr>
        <w:pStyle w:val="BodyText"/>
      </w:pPr>
      <w:r>
        <w:t xml:space="preserve">The population density estimated by the model (Figure</w:t>
      </w:r>
      <w:r>
        <w:t xml:space="preserve"> </w:t>
      </w:r>
      <w:r>
        <w:t xml:space="preserve">5.1</w:t>
      </w:r>
      <w:r>
        <w:t xml:space="preserve">) ranges on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a ceramic style as observed for sites of the Swiss Plateau influence by the Corded Ware ceramic style</w:t>
      </w:r>
      <w:r>
        <w:t xml:space="preserve"> </w:t>
      </w:r>
      <w:r>
        <w:t xml:space="preserve">(Hafner, 2004)</w:t>
      </w:r>
      <w:r>
        <w:t xml:space="preserve">.</w:t>
      </w:r>
    </w:p>
    <w:p>
      <w:pPr>
        <w:pStyle w:val="CaptionedFigure"/>
      </w:pPr>
      <w:r>
        <w:drawing>
          <wp:inline>
            <wp:extent cx="5943600" cy="4195482"/>
            <wp:effectExtent b="0" l="0" r="0" t="0"/>
            <wp:docPr descr="Figure 5.2: The variability of the estimate of the population density over time, with the estimate itself for reference." title="" id="84" name="Picture"/>
            <a:graphic>
              <a:graphicData uri="http://schemas.openxmlformats.org/drawingml/2006/picture">
                <pic:pic>
                  <pic:nvPicPr>
                    <pic:cNvPr descr="../figures/popvar_plot.pdf" id="85" name="Picture"/>
                    <pic:cNvPicPr>
                      <a:picLocks noChangeArrowheads="1" noChangeAspect="1"/>
                    </pic:cNvPicPr>
                  </pic:nvPicPr>
                  <pic:blipFill>
                    <a:blip r:embed="rId8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The variability of the estimate of the population density over time, with the estimate itself for reference.</w:t>
      </w:r>
    </w:p>
    <w:p>
      <w:pPr>
        <w:pStyle w:val="BodyText"/>
      </w:pPr>
      <w:r>
        <w:t xml:space="preserve">The temporal distribution of the variability in the estimate (Figure</w:t>
      </w:r>
      <w:r>
        <w:t xml:space="preserve"> </w:t>
      </w:r>
      <w:r>
        <w:t xml:space="preserve">5.2</w:t>
      </w:r>
      <w:r>
        <w:t xml:space="preserve">) allows us assess at which time steps the model attempts a more accurate estimate, and at which the uncertainty is greater due to e.g. contradictions in the proxies. The coefficient of variation is 0.13 for the beginning and 0.1 for the end of the estimate, the greatest variability is reached around 2150 BCE with 0.47. This is not astonishing as there are fewer archaeological contexts recorded connected to the earlier phase of the Early Bronze Age c. 2200-1800 BCE, this picture changes from c. 1800 BCE onwards</w:t>
      </w:r>
      <w:r>
        <w:t xml:space="preserve"> </w:t>
      </w:r>
      <w:r>
        <w:t xml:space="preserve">David-Elbiali (2000)</w:t>
      </w:r>
      <w:r>
        <w:t xml:space="preserve">. The beginning and end of the time series are relatively clearly determined. The end results from the</w:t>
      </w:r>
      <w:r>
        <w:t xml:space="preserve"> </w:t>
      </w:r>
      <w:r>
        <w:rPr>
          <w:iCs/>
          <w:i/>
        </w:rPr>
        <w:t xml:space="preserve">a priori</w:t>
      </w:r>
      <w:r>
        <w:t xml:space="preserve"> </w:t>
      </w:r>
      <w:r>
        <w:t xml:space="preserve">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w:t>
      </w:r>
      <w:r>
        <w:t xml:space="preserve"> </w:t>
      </w:r>
      <m:oMath>
        <m:r>
          <m:t>p</m:t>
        </m:r>
      </m:oMath>
      <w:r>
        <w:t xml:space="preserve"> </w:t>
      </w:r>
      <w:r>
        <w:t xml:space="preserve">was estimated, which reflects the relative weight given to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5.3: Distribution of the influence ratio of the different proxies on the final estimation of the number of sites." title="" id="87" name="Picture"/>
            <a:graphic>
              <a:graphicData uri="http://schemas.openxmlformats.org/drawingml/2006/picture">
                <pic:pic>
                  <pic:nvPicPr>
                    <pic:cNvPr descr="../figures/p_estimation.pdf" id="88" name="Picture"/>
                    <pic:cNvPicPr>
                      <a:picLocks noChangeArrowheads="1" noChangeAspect="1"/>
                    </pic:cNvPicPr>
                  </pic:nvPicPr>
                  <pic:blipFill>
                    <a:blip r:embed="rId8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5.3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89"/>
    <w:bookmarkStart w:id="95" w:name="discussion"/>
    <w:p>
      <w:pPr>
        <w:pStyle w:val="Heading1"/>
      </w:pPr>
      <w:r>
        <w:rPr>
          <w:rStyle w:val="SectionNumber"/>
        </w:rPr>
        <w:t xml:space="preserve">6</w:t>
      </w:r>
      <w:r>
        <w:tab/>
      </w:r>
      <w:r>
        <w:t xml:space="preserve">Discussion</w:t>
      </w:r>
    </w:p>
    <w:p>
      <w:pPr>
        <w:pStyle w:val="FirstParagraph"/>
      </w:pPr>
      <w:r>
        <w:t xml:space="preserve">Our original ambition in the development of this model was to base it on a state-space representation of the demographic process itself, and then to integrate the existing proxies by means of an observation model to inform this process. In the course of developing the model, we realised that the data we had available for the case study area north of the Swiss Alps alone was not sufficient to adequately determine this process, or to adequately fix the degrees of freedom resulting from the process and the transfer model. Therefore, in implementation presented here, we have turned to a Poisson regression approach: the model represents the best possible combination of the indicators used to describe the development of the number of sites based on them.</w:t>
      </w:r>
    </w:p>
    <w:bookmarkStart w:id="90" w:name="comparison-of-individual-proxies"/>
    <w:p>
      <w:pPr>
        <w:pStyle w:val="Heading2"/>
      </w:pPr>
      <w:r>
        <w:rPr>
          <w:rStyle w:val="SectionNumber"/>
        </w:rPr>
        <w:t xml:space="preserve">6.1</w:t>
      </w:r>
      <w:r>
        <w:tab/>
      </w:r>
      <w:r>
        <w:t xml:space="preserve">Comparison of individual proxies</w:t>
      </w:r>
    </w:p>
    <w:p>
      <w:pPr>
        <w:pStyle w:val="FirstParagraph"/>
      </w:pPr>
      <w:r>
        <w:t xml:space="preserve">Comparing the model’s overall estimate with trends indicated by individual proxies gives us new insights into the quality of these records. Sum calibration, currently the most frequently used proxy for (relative) population changes in prehistory, has its large fluctuations dampened when considered alongside other proxies. This is especially true for the first fluctuation, shortly after 4000 BCE. The expected increase in archaeological remains with the onset of Neolithisation is still clearly visible, but the curve of the overall estimate, after the initial increase, is much flatter than sum calibration alone indicates. The period between 3950 and 3700 BCE, which is contemporaneous with the first larger settlement cycle on the lakeshores of the Three Lakes region, coincides with a noticeable plateau on the calibration curve, which be producing an overestimation of the</w:t>
      </w:r>
      <w:r>
        <w:t xml:space="preserve"> </w:t>
      </w:r>
      <w:r>
        <w:rPr>
          <w:vertAlign w:val="superscript"/>
        </w:rPr>
        <w:t xml:space="preserve">14</w:t>
      </w:r>
      <w:r>
        <w:t xml:space="preserve">C density. However, the effect of the calibration curve on the results of a cumulative calibration cannot yet be considered unambiguous. A second maximum, after 3000 BCE, is supported by the other proxies, and is consequently also much more clearly reflected in our overall estimate. Here, too plateau in the calibration curve — albeit a smaller, shorter one which is much less pronounced than, for example, the one shortly before between 3350 and 3100. The rise towards the Middle and Late Bronze Age is also supported by the other proxies, especially the aoristic sum, and therefore is preserved in the overall estimate. In this period, the calibration curve does not show any very clear, significant patterns.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Nevertheless, it appears the general trends in the sum calibration are well reflected in land openness – even if such</w:t>
      </w:r>
      <w:r>
        <w:t xml:space="preserve"> </w:t>
      </w:r>
      <w:r>
        <w:t xml:space="preserve">‘</w:t>
      </w:r>
      <w:r>
        <w:t xml:space="preserve">eyeballing</w:t>
      </w:r>
      <w:r>
        <w:t xml:space="preserve">’</w:t>
      </w:r>
      <w:r>
        <w:t xml:space="preserve"> </w:t>
      </w:r>
      <w:r>
        <w:t xml:space="preserve">should be interpreted with caution. In contrast to this dramatic trend, changes within the Neolithic and Bronze Age are more gradual, suggestive of larger scale transformations of the landscape. The model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r>
        <w:t xml:space="preserve"> </w:t>
      </w:r>
      <w:r>
        <w:t xml:space="preserve">(Ballenger and Mabry, 2011)</w:t>
      </w:r>
      <w:r>
        <w:t xml:space="preserve">.</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zero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90"/>
    <w:bookmarkStart w:id="94"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 It should be noted, however, that the model’s estimate is not completely independent of these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CaptionedFigure"/>
      </w:pPr>
      <w:r>
        <w:drawing>
          <wp:inline>
            <wp:extent cx="4587290" cy="3669832"/>
            <wp:effectExtent b="0" l="0" r="0" t="0"/>
            <wp:docPr descr="Figure 6.1: The estimate of the population density in relation to the chronology for the case study area north of the Swiss Alps." title="" id="92" name="Picture"/>
            <a:graphic>
              <a:graphicData uri="http://schemas.openxmlformats.org/drawingml/2006/picture">
                <pic:pic>
                  <pic:nvPicPr>
                    <pic:cNvPr descr="../figures/popestwithphases-1.png" id="93"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The estimate of the population density in relation to the chronology for the case study area north of the Swiss Alps.</w:t>
      </w:r>
    </w:p>
    <w:p>
      <w:pPr>
        <w:pStyle w:val="BodyText"/>
      </w:pPr>
      <w:r>
        <w:t xml:space="preserve">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w:t>
      </w:r>
      <w:r>
        <w:t xml:space="preserve"> </w:t>
      </w:r>
      <w:r>
        <w:t xml:space="preserve">(Ebersbach et al., 2012)</w:t>
      </w:r>
      <w:r>
        <w:t xml:space="preserve">. The evidence of the Neolithic especially what the Swiss Plateau is concerned is dense from the so-called Upper Neolithic onwards, connected with the typo-chronological units based on pottery that are called Egolzwil (late 5th M BCE) and Cortaillod respectively Pfyn (first half of the 4th M BCE). The first lake shore settlements north of the Alps date to this time too. In this period, we also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could show that this is in fact probably not a decline in population. Rather communities relocated their settlements to the hinterland of the large lakes in times of lake level rises of higher magnitudes due to climatic changes. In the Late Neolithic, associated with the Horgen pottery, we then see a clear increase in the intensity of settlement, which reaches its peak and its break-off at the transition to the Corded Ware and thus to the Final Neolithic</w:t>
      </w:r>
      <w:r>
        <w:t xml:space="preserve"> </w:t>
      </w:r>
      <w:r>
        <w:t xml:space="preserve">(Hafner, 2004)</w:t>
      </w:r>
      <w:r>
        <w:t xml:space="preserve">. In the second half of the Early Bronze Age, during which – after a break from the Final Neolithic to the very early Bronze Age – lakeshores were resettled, but to a smaller extend. There is again a clear increase in population size according to the model, which continues until the Late Bronze Age. The general trends fit very well with the previous reconstructions of population development for Switzerland</w:t>
      </w:r>
      <w:r>
        <w:t xml:space="preserve"> </w:t>
      </w:r>
      <w:r>
        <w:t xml:space="preserve">(see eg. Lechterbeck et al., 2014)</w:t>
      </w:r>
      <w:r>
        <w:t xml:space="preserve">. All in all, the estimate of the model corresponds to our expectations, although we must be aware that these expectations are not</w:t>
      </w:r>
      <w:r>
        <w:t xml:space="preserve"> </w:t>
      </w:r>
      <w:r>
        <w:t xml:space="preserve">‘</w:t>
      </w:r>
      <w:r>
        <w:t xml:space="preserve">ground truth</w:t>
      </w:r>
      <w:r>
        <w:t xml:space="preserve">’</w:t>
      </w:r>
      <w:r>
        <w:t xml:space="preserve">. Nevertheless, we can claim that the model predictions are credible because they accord well with existing knowledge, while offering higher precision and higher resolution.</w:t>
      </w:r>
    </w:p>
    <w:bookmarkEnd w:id="94"/>
    <w:bookmarkEnd w:id="95"/>
    <w:bookmarkStart w:id="96" w:name="conclusions"/>
    <w:p>
      <w:pPr>
        <w:pStyle w:val="Heading1"/>
      </w:pPr>
      <w:r>
        <w:rPr>
          <w:rStyle w:val="SectionNumber"/>
        </w:rPr>
        <w:t xml:space="preserve">7</w:t>
      </w:r>
      <w:r>
        <w:tab/>
      </w:r>
      <w:r>
        <w:t xml:space="preserve">Conclusions</w:t>
      </w:r>
    </w:p>
    <w:p>
      <w:pPr>
        <w:pStyle w:val="FirstParagraph"/>
      </w:pPr>
      <w:r>
        <w:t xml:space="preserve">The key advance in the model we present here is the ability to estimate, in absolute terms, past population sizes and the uncertainty accompanying our present knowledge. These estimates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We have also demonstrated that, with Bayesian hierarchical modelling, it is possible to achieve a true multi-proxy analysis of prehistoric demographic processes – as opposed to a juxtaposition of different indicators. This opens up the possibility of quantitatively linking different records and assessing their credibility. In addition, and in contrast to existing approaches, we are able to specifying a confidence interval for the overall estimate. The result is a firmer basis for reconstructing population dynamics and settlement patterns in prehistory.</w:t>
      </w:r>
    </w:p>
    <w:p>
      <w:pPr>
        <w:pStyle w:val="BodyText"/>
      </w:pPr>
      <w:r>
        <w:t xml:space="preserve">Nevertheless, we consider the model present here as only the first step towards a more sophisticated Bayesian approach. We have trusted the individual proxies in aggregate, without considering measurement error. Moreover, our estimates are based on a limited number of sources of evidence, almost all of which are subject to taphonomic biases in the archaeological record (except for the openness indicator). Consequently, we can only transform the model’s prediction into an absolute estimate of population density with predefined parameters: the upper limit of population growth, settlement size and the initial value of the reconstruction. Overcoming this limitation would represent a major refinement of our approach.</w:t>
      </w:r>
    </w:p>
    <w:p>
      <w:pPr>
        <w:pStyle w:val="BodyText"/>
      </w:pPr>
      <w:r>
        <w:t xml:space="preserve">Incorporating additional proxies that are independent of the immediate, time-dependent conditions of the archaeological record could be one way to achieve this. These could be data on settlement sizes, parameters for economic-ecological carrying capacity, demographic data from burial groups, archaeogenetic data on population sizes, or other records as yet unidentified. This data is available to varying degrees in different regions. On the Swiss Plateau, for example, we have too little data on human remains over large spans of prehistory compared to the abundance of wetland settlements to be able to integrate them meaningful into a model.</w:t>
      </w:r>
    </w:p>
    <w:p>
      <w:pPr>
        <w:pStyle w:val="BodyText"/>
      </w:pPr>
      <w:r>
        <w:t xml:space="preserve">To apply the model to different regions, the proxies we use here (e.g. the palynological openness indicator) would have to be adapted to fit local conditions and research histories. By means of large-scale modelling, however, it would be possible to supplement gaps in the data in one region with data from other regions by means of regionalisation and a partial transfer of information (partial pooling). Such an extension would be the next logical step in the improvement of the model, to which end we hope to be able to contribute a further study in the near future.</w:t>
      </w:r>
    </w:p>
    <w:bookmarkEnd w:id="96"/>
    <w:bookmarkStart w:id="97" w:name="acknowledgements"/>
    <w:p>
      <w:pPr>
        <w:pStyle w:val="Heading1"/>
      </w:pPr>
      <w:r>
        <w:rPr>
          <w:rStyle w:val="SectionNumber"/>
        </w:rPr>
        <w:t xml:space="preserve">8</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7"/>
    <w:bookmarkStart w:id="167" w:name="references"/>
    <w:p>
      <w:pPr>
        <w:pStyle w:val="Heading1"/>
      </w:pPr>
      <w:r>
        <w:rPr>
          <w:rStyle w:val="SectionNumber"/>
        </w:rPr>
        <w:t xml:space="preserve">9</w:t>
      </w:r>
      <w:r>
        <w:tab/>
      </w:r>
      <w:r>
        <w:t xml:space="preserve">References</w:t>
      </w:r>
    </w:p>
    <w:bookmarkStart w:id="165" w:name="refs"/>
    <w:bookmarkStart w:id="99"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8">
        <w:r>
          <w:rPr>
            <w:rStyle w:val="Hyperlink"/>
          </w:rPr>
          <w:t xml:space="preserve">https://doi.org/10.1002/arco.5052</w:t>
        </w:r>
      </w:hyperlink>
    </w:p>
    <w:bookmarkEnd w:id="99"/>
    <w:bookmarkStart w:id="101" w:name="ref-ballenger_temporal_2011"/>
    <w:p>
      <w:pPr>
        <w:pStyle w:val="Bibliography"/>
      </w:pPr>
      <w:r>
        <w:t xml:space="preserve">Ballenger, J.A.M., Mabry, J.B., 2011. Temporal frequency distributions of alluvium in the</w:t>
      </w:r>
      <w:r>
        <w:t xml:space="preserve"> </w:t>
      </w:r>
      <w:r>
        <w:t xml:space="preserve">American</w:t>
      </w:r>
      <w:r>
        <w:t xml:space="preserve"> </w:t>
      </w:r>
      <w:r>
        <w:t xml:space="preserve">Southwest</w:t>
      </w:r>
      <w:r>
        <w:t xml:space="preserve">: Taphonomic, paleohydraulic, and demographic implications. Journal of Archaeological Science 38, 1314–1325.</w:t>
      </w:r>
      <w:r>
        <w:t xml:space="preserve"> </w:t>
      </w:r>
      <w:hyperlink r:id="rId100">
        <w:r>
          <w:rPr>
            <w:rStyle w:val="Hyperlink"/>
          </w:rPr>
          <w:t xml:space="preserve">https://doi.org/10.1016/j.jas.2011.01.007</w:t>
        </w:r>
      </w:hyperlink>
    </w:p>
    <w:bookmarkEnd w:id="101"/>
    <w:bookmarkStart w:id="103" w:name="ref-bryant2018"/>
    <w:p>
      <w:pPr>
        <w:pStyle w:val="Bibliography"/>
      </w:pPr>
      <w:r>
        <w:t xml:space="preserve">Bryant, J., Zhang, J.L., 2018. Bayesian Demographic Estimation and Forecasting. Chapman; Hall/CRC.</w:t>
      </w:r>
      <w:r>
        <w:t xml:space="preserve"> </w:t>
      </w:r>
      <w:hyperlink r:id="rId102">
        <w:r>
          <w:rPr>
            <w:rStyle w:val="Hyperlink"/>
          </w:rPr>
          <w:t xml:space="preserve">https://doi.org/10.1201/9780429452987</w:t>
        </w:r>
      </w:hyperlink>
    </w:p>
    <w:bookmarkEnd w:id="103"/>
    <w:bookmarkStart w:id="105"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104">
        <w:r>
          <w:rPr>
            <w:rStyle w:val="Hyperlink"/>
          </w:rPr>
          <w:t xml:space="preserve">https://doi.org/10.1177/0959683620981700</w:t>
        </w:r>
      </w:hyperlink>
    </w:p>
    <w:bookmarkEnd w:id="105"/>
    <w:bookmarkStart w:id="106"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06"/>
    <w:bookmarkStart w:id="108" w:name="ref-christianlüthi2009"/>
    <w:p>
      <w:pPr>
        <w:pStyle w:val="Bibliography"/>
      </w:pPr>
      <w:r>
        <w:t xml:space="preserve">Christian Lüthi, 2009.</w:t>
      </w:r>
      <w:r>
        <w:t xml:space="preserve"> </w:t>
      </w:r>
      <w:hyperlink r:id="rId107">
        <w:r>
          <w:rPr>
            <w:rStyle w:val="Hyperlink"/>
          </w:rPr>
          <w:t xml:space="preserve">Mittelland (region)</w:t>
        </w:r>
      </w:hyperlink>
      <w:r>
        <w:t xml:space="preserve">.</w:t>
      </w:r>
    </w:p>
    <w:bookmarkEnd w:id="108"/>
    <w:bookmarkStart w:id="109"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109"/>
    <w:bookmarkStart w:id="110" w:name="ref-cook_reconsideration_1946"/>
    <w:p>
      <w:pPr>
        <w:pStyle w:val="Bibliography"/>
      </w:pPr>
      <w:r>
        <w:t xml:space="preserve">Cook, S.F., 1946. A reconsideration of shell mounds with respect to population and nutrition. American Antiquity 12, 51–53.</w:t>
      </w:r>
    </w:p>
    <w:bookmarkEnd w:id="110"/>
    <w:bookmarkStart w:id="111" w:name="ref-cook_relationships_1968"/>
    <w:p>
      <w:pPr>
        <w:pStyle w:val="Bibliography"/>
      </w:pPr>
      <w:r>
        <w:t xml:space="preserve">Cook, S.F., Heizer, R.F., 1968. Relationships among houses, settlement areas, and population in aboriginal</w:t>
      </w:r>
      <w:r>
        <w:t xml:space="preserve"> </w:t>
      </w:r>
      <w:r>
        <w:t xml:space="preserve">California</w:t>
      </w:r>
      <w:r>
        <w:t xml:space="preserve">. Settlement archaeology 79–116.</w:t>
      </w:r>
    </w:p>
    <w:bookmarkEnd w:id="111"/>
    <w:bookmarkStart w:id="112" w:name="ref-cook_quantitative_1965"/>
    <w:p>
      <w:pPr>
        <w:pStyle w:val="Bibliography"/>
      </w:pPr>
      <w:r>
        <w:t xml:space="preserve">Cook, S.F., Heizer, R.F., 1965. The</w:t>
      </w:r>
      <w:r>
        <w:t xml:space="preserve"> </w:t>
      </w:r>
      <w:r>
        <w:t xml:space="preserve">Quantitative</w:t>
      </w:r>
      <w:r>
        <w:t xml:space="preserve"> </w:t>
      </w:r>
      <w:r>
        <w:t xml:space="preserve">approach to the relation between population and settlement size. University of California, Archaeological research facility Department of Anthropology, Berkeley, Etats-Unis d’Amérique.</w:t>
      </w:r>
    </w:p>
    <w:bookmarkEnd w:id="112"/>
    <w:bookmarkStart w:id="114"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13">
        <w:r>
          <w:rPr>
            <w:rStyle w:val="Hyperlink"/>
          </w:rPr>
          <w:t xml:space="preserve">https://doi.org/10.1007/s10816-022-09559-5</w:t>
        </w:r>
      </w:hyperlink>
    </w:p>
    <w:bookmarkEnd w:id="114"/>
    <w:bookmarkStart w:id="116" w:name="ref-crema2021"/>
    <w:p>
      <w:pPr>
        <w:pStyle w:val="Bibliography"/>
      </w:pPr>
      <w:r>
        <w:t xml:space="preserve">Crema, E.R., Bevan, A., 2021. Inference from large sets of radiocarbon dates: software and methods. Radiocarbon 63, 23–39.</w:t>
      </w:r>
      <w:r>
        <w:t xml:space="preserve"> </w:t>
      </w:r>
      <w:hyperlink r:id="rId115">
        <w:r>
          <w:rPr>
            <w:rStyle w:val="Hyperlink"/>
          </w:rPr>
          <w:t xml:space="preserve">https://doi.org/10.1017/RDC.2020.95</w:t>
        </w:r>
      </w:hyperlink>
    </w:p>
    <w:bookmarkEnd w:id="116"/>
    <w:bookmarkStart w:id="118"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17">
        <w:r>
          <w:rPr>
            <w:rStyle w:val="Hyperlink"/>
          </w:rPr>
          <w:t xml:space="preserve">https://doi.org/10.1371/journal.pone.0251695</w:t>
        </w:r>
      </w:hyperlink>
    </w:p>
    <w:bookmarkEnd w:id="118"/>
    <w:bookmarkStart w:id="119" w:name="ref-david-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19"/>
    <w:bookmarkStart w:id="121"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20">
        <w:r>
          <w:rPr>
            <w:rStyle w:val="Hyperlink"/>
          </w:rPr>
          <w:t xml:space="preserve">https://doi.org/10.5169/SEALS-392483</w:t>
        </w:r>
      </w:hyperlink>
    </w:p>
    <w:bookmarkEnd w:id="121"/>
    <w:bookmarkStart w:id="122"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122"/>
    <w:bookmarkStart w:id="124"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23">
        <w:r>
          <w:rPr>
            <w:rStyle w:val="Hyperlink"/>
          </w:rPr>
          <w:t xml:space="preserve">https://doi.org/10.1098/rstb.2019.0707</w:t>
        </w:r>
      </w:hyperlink>
    </w:p>
    <w:bookmarkEnd w:id="124"/>
    <w:bookmarkStart w:id="125"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125"/>
    <w:bookmarkStart w:id="126"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26"/>
    <w:bookmarkStart w:id="127"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27"/>
    <w:bookmarkStart w:id="128"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28"/>
    <w:bookmarkStart w:id="129" w:name="ref-hassan_demographic_1981"/>
    <w:p>
      <w:pPr>
        <w:pStyle w:val="Bibliography"/>
      </w:pPr>
      <w:r>
        <w:t xml:space="preserve">Hassan, F.A., 1981. Demographic archaeology, Studies in archaeology. Academic Press, New York.</w:t>
      </w:r>
    </w:p>
    <w:bookmarkEnd w:id="129"/>
    <w:bookmarkStart w:id="131" w:name="ref-heitz2021"/>
    <w:p>
      <w:pPr>
        <w:pStyle w:val="Bibliography"/>
      </w:pPr>
      <w:r>
        <w:t xml:space="preserve">Heitz, C., Hinz, M., Laabs, J., Hafner, A., 2021. Mobility as resilience capacity in northern Alpine Neolithic settlement communities.</w:t>
      </w:r>
      <w:r>
        <w:t xml:space="preserve"> </w:t>
      </w:r>
      <w:hyperlink r:id="rId130">
        <w:r>
          <w:rPr>
            <w:rStyle w:val="Hyperlink"/>
          </w:rPr>
          <w:t xml:space="preserve">https://doi.org/10.17863/CAM.79042</w:t>
        </w:r>
      </w:hyperlink>
    </w:p>
    <w:bookmarkEnd w:id="131"/>
    <w:bookmarkStart w:id="133"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32">
        <w:r>
          <w:rPr>
            <w:rStyle w:val="Hyperlink"/>
          </w:rPr>
          <w:t xml:space="preserve">https://doi.org/10.1073/pnas.1324000111</w:t>
        </w:r>
      </w:hyperlink>
    </w:p>
    <w:bookmarkEnd w:id="133"/>
    <w:bookmarkStart w:id="135" w:name="ref-kruschke2015"/>
    <w:p>
      <w:pPr>
        <w:pStyle w:val="Bibliography"/>
      </w:pPr>
      <w:r>
        <w:t xml:space="preserve">Kruschke, J.K., 2015. Doing Bayesian Data Analysis. Elsevier.</w:t>
      </w:r>
      <w:r>
        <w:t xml:space="preserve"> </w:t>
      </w:r>
      <w:hyperlink r:id="rId134">
        <w:r>
          <w:rPr>
            <w:rStyle w:val="Hyperlink"/>
          </w:rPr>
          <w:t xml:space="preserve">https://doi.org/10.1016/B978-0-12-405888-0.09999-2</w:t>
        </w:r>
      </w:hyperlink>
    </w:p>
    <w:bookmarkEnd w:id="135"/>
    <w:bookmarkStart w:id="136" w:name="ref-laabs2019"/>
    <w:p>
      <w:pPr>
        <w:pStyle w:val="Bibliography"/>
      </w:pPr>
      <w:r>
        <w:t xml:space="preserve">Laabs, J., 2019. Populations- und landnutzungsmodellierung der neolithischen und bronzezeitlichen westschweiz (PhD thesis). Bern.</w:t>
      </w:r>
    </w:p>
    <w:bookmarkEnd w:id="136"/>
    <w:bookmarkStart w:id="138"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37">
        <w:r>
          <w:rPr>
            <w:rStyle w:val="Hyperlink"/>
          </w:rPr>
          <w:t xml:space="preserve">https://doi.org/10.1177/0959683614540952</w:t>
        </w:r>
      </w:hyperlink>
    </w:p>
    <w:bookmarkEnd w:id="138"/>
    <w:bookmarkStart w:id="140"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39">
        <w:r>
          <w:rPr>
            <w:rStyle w:val="Hyperlink"/>
          </w:rPr>
          <w:t xml:space="preserve">https://doi.org/10.5334/joad.72</w:t>
        </w:r>
      </w:hyperlink>
    </w:p>
    <w:bookmarkEnd w:id="140"/>
    <w:bookmarkStart w:id="141" w:name="ref-morris_measure_2013"/>
    <w:p>
      <w:pPr>
        <w:pStyle w:val="Bibliography"/>
      </w:pPr>
      <w:r>
        <w:t xml:space="preserve">Morris, I., 2013. The measure of civilization: How social development decides the fate of nations. Princeton University Press, Princeton.</w:t>
      </w:r>
    </w:p>
    <w:bookmarkEnd w:id="141"/>
    <w:bookmarkStart w:id="143"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42">
        <w:r>
          <w:rPr>
            <w:rStyle w:val="Hyperlink"/>
          </w:rPr>
          <w:t xml:space="preserve">https://doi.org/10.1371/journal.pone.0208739</w:t>
        </w:r>
      </w:hyperlink>
    </w:p>
    <w:bookmarkEnd w:id="143"/>
    <w:bookmarkStart w:id="145" w:name="ref-naroll_floor_1962"/>
    <w:p>
      <w:pPr>
        <w:pStyle w:val="Bibliography"/>
      </w:pPr>
      <w:r>
        <w:t xml:space="preserve">Naroll, R., 1962. Floor</w:t>
      </w:r>
      <w:r>
        <w:t xml:space="preserve"> </w:t>
      </w:r>
      <w:r>
        <w:t xml:space="preserve">Area</w:t>
      </w:r>
      <w:r>
        <w:t xml:space="preserve"> </w:t>
      </w:r>
      <w:r>
        <w:t xml:space="preserve">and</w:t>
      </w:r>
      <w:r>
        <w:t xml:space="preserve"> </w:t>
      </w:r>
      <w:r>
        <w:t xml:space="preserve">Settlement</w:t>
      </w:r>
      <w:r>
        <w:t xml:space="preserve"> </w:t>
      </w:r>
      <w:r>
        <w:t xml:space="preserve">Population</w:t>
      </w:r>
      <w:r>
        <w:t xml:space="preserve">. American Antiquity 27, 587–589.</w:t>
      </w:r>
      <w:r>
        <w:t xml:space="preserve"> </w:t>
      </w:r>
      <w:hyperlink r:id="rId144">
        <w:r>
          <w:rPr>
            <w:rStyle w:val="Hyperlink"/>
          </w:rPr>
          <w:t xml:space="preserve">https://doi.org/10.2307/277689</w:t>
        </w:r>
      </w:hyperlink>
    </w:p>
    <w:bookmarkEnd w:id="145"/>
    <w:bookmarkStart w:id="147" w:name="ref-nikulka2016"/>
    <w:p>
      <w:pPr>
        <w:pStyle w:val="Bibliography"/>
      </w:pPr>
      <w:r>
        <w:t xml:space="preserve">Nikulka, F., 2016.</w:t>
      </w:r>
      <w:r>
        <w:t xml:space="preserve"> </w:t>
      </w:r>
      <w:hyperlink r:id="rId146">
        <w:r>
          <w:rPr>
            <w:rStyle w:val="Hyperlink"/>
          </w:rPr>
          <w:t xml:space="preserve">Archäologische Demographie. Methoden, Daten und Bevölkerung der europäischen Bronze- und Eisenzeiten</w:t>
        </w:r>
      </w:hyperlink>
      <w:r>
        <w:t xml:space="preserve">. Sidestone Press, Leiden.</w:t>
      </w:r>
    </w:p>
    <w:bookmarkEnd w:id="147"/>
    <w:bookmarkStart w:id="149" w:name="ref-ramsey1995"/>
    <w:p>
      <w:pPr>
        <w:pStyle w:val="Bibliography"/>
      </w:pPr>
      <w:r>
        <w:t xml:space="preserve">Ramsey, C.B., 1995.</w:t>
      </w:r>
      <w:r>
        <w:t xml:space="preserve"> </w:t>
      </w:r>
      <w:hyperlink r:id="rId148">
        <w:r>
          <w:rPr>
            <w:rStyle w:val="Hyperlink"/>
          </w:rPr>
          <w:t xml:space="preserve">Radiocarbon calibration and analysis of stratigraphy; the OxCal program.</w:t>
        </w:r>
      </w:hyperlink>
      <w:r>
        <w:t xml:space="preserve"> Radiocarbon 37, 425430.</w:t>
      </w:r>
    </w:p>
    <w:bookmarkEnd w:id="149"/>
    <w:bookmarkStart w:id="151"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50">
        <w:r>
          <w:rPr>
            <w:rStyle w:val="Hyperlink"/>
          </w:rPr>
          <w:t xml:space="preserve">https://doi.org/10.2307/281060</w:t>
        </w:r>
      </w:hyperlink>
    </w:p>
    <w:bookmarkEnd w:id="151"/>
    <w:bookmarkStart w:id="153"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52">
        <w:r>
          <w:rPr>
            <w:rStyle w:val="Hyperlink"/>
          </w:rPr>
          <w:t xml:space="preserve">https://doi.org/10.3378/027.081.0311</w:t>
        </w:r>
      </w:hyperlink>
    </w:p>
    <w:bookmarkEnd w:id="153"/>
    <w:bookmarkStart w:id="154" w:name="ref-schiffer1987"/>
    <w:p>
      <w:pPr>
        <w:pStyle w:val="Bibliography"/>
      </w:pPr>
      <w:r>
        <w:t xml:space="preserve">Schiffer, M.B., 1987. Formation processes of the archaeological record. University of New Mexico Press, Albuquerque-NM.</w:t>
      </w:r>
    </w:p>
    <w:bookmarkEnd w:id="154"/>
    <w:bookmarkStart w:id="156"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55">
        <w:r>
          <w:rPr>
            <w:rStyle w:val="Hyperlink"/>
          </w:rPr>
          <w:t xml:space="preserve">https://doi.org/10.1098/rstb.2019.0714</w:t>
        </w:r>
      </w:hyperlink>
    </w:p>
    <w:bookmarkEnd w:id="156"/>
    <w:bookmarkStart w:id="157"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57"/>
    <w:bookmarkStart w:id="159"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58">
        <w:r>
          <w:rPr>
            <w:rStyle w:val="Hyperlink"/>
          </w:rPr>
          <w:t xml:space="preserve">https://doi.org/10.1038/ncomms3486</w:t>
        </w:r>
      </w:hyperlink>
    </w:p>
    <w:bookmarkEnd w:id="159"/>
    <w:bookmarkStart w:id="161"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60">
        <w:r>
          <w:rPr>
            <w:rStyle w:val="Hyperlink"/>
          </w:rPr>
          <w:t xml:space="preserve">https://doi.org/10.1016/j.jas.2009.03.029</w:t>
        </w:r>
      </w:hyperlink>
    </w:p>
    <w:bookmarkEnd w:id="161"/>
    <w:bookmarkStart w:id="163"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62">
        <w:r>
          <w:rPr>
            <w:rStyle w:val="Hyperlink"/>
          </w:rPr>
          <w:t xml:space="preserve">https://doi.org/10.21237/C7clio6127917</w:t>
        </w:r>
      </w:hyperlink>
    </w:p>
    <w:bookmarkEnd w:id="163"/>
    <w:bookmarkStart w:id="164" w:name="ref-zimmermann2004"/>
    <w:p>
      <w:pPr>
        <w:pStyle w:val="Bibliography"/>
      </w:pPr>
      <w:r>
        <w:t xml:space="preserve">Zimmermann, A., 2004. Landschaftsarchäologie II. Überlegungen zu prinzipien einer landschaftsarchäologie.</w:t>
      </w:r>
    </w:p>
    <w:bookmarkEnd w:id="164"/>
    <w:bookmarkEnd w:id="165"/>
    <w:p>
      <w:r>
        <w:br w:type="page"/>
      </w:r>
    </w:p>
    <w:bookmarkStart w:id="166" w:name="colophon"/>
    <w:p>
      <w:pPr>
        <w:pStyle w:val="Heading3"/>
      </w:pPr>
      <w:r>
        <w:rPr>
          <w:rStyle w:val="SectionNumber"/>
        </w:rPr>
        <w:t xml:space="preserve">9.0.1</w:t>
      </w:r>
      <w:r>
        <w:tab/>
      </w:r>
      <w:r>
        <w:t xml:space="preserve">Colophon</w:t>
      </w:r>
    </w:p>
    <w:p>
      <w:pPr>
        <w:pStyle w:val="FirstParagraph"/>
      </w:pPr>
      <w:r>
        <w:t xml:space="preserve">This report was generated on 2022-05-28 10:19:51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2022-05-28</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df" /><Relationship Type="http://schemas.openxmlformats.org/officeDocument/2006/relationships/image" Id="rId72" Target="media/rId72.pdf"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63" Target="media/rId63.pdf" /><Relationship Type="http://schemas.openxmlformats.org/officeDocument/2006/relationships/image" Id="rId60" Target="media/rId60.pdf"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6" Target="media/rId66.pdf" /><Relationship Type="http://schemas.openxmlformats.org/officeDocument/2006/relationships/image" Id="rId75" Target="media/rId75.pdf" /><Relationship Type="http://schemas.openxmlformats.org/officeDocument/2006/relationships/image" Id="rId86" Target="media/rId86.pdf" /><Relationship Type="http://schemas.openxmlformats.org/officeDocument/2006/relationships/image" Id="rId49" Target="media/rId49.pdf" /><Relationship Type="http://schemas.openxmlformats.org/officeDocument/2006/relationships/image" Id="rId46" Target="media/rId46.png" /><Relationship Type="http://schemas.openxmlformats.org/officeDocument/2006/relationships/image" Id="rId80" Target="media/rId80.pdf" /><Relationship Type="http://schemas.openxmlformats.org/officeDocument/2006/relationships/image" Id="rId91" Target="media/rId91.png" /><Relationship Type="http://schemas.openxmlformats.org/officeDocument/2006/relationships/image" Id="rId83" Target="media/rId83.pdf" /><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34" Target="https://doi.org/10.1016/B978-0-12-405888-0.09999-2" TargetMode="External" /><Relationship Type="http://schemas.openxmlformats.org/officeDocument/2006/relationships/hyperlink" Id="rId160"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8" Target="https://doi.org/10.1038/ncomms3486" TargetMode="External" /><Relationship Type="http://schemas.openxmlformats.org/officeDocument/2006/relationships/hyperlink" Id="rId132" Target="https://doi.org/10.1073/pnas.1324000111" TargetMode="External" /><Relationship Type="http://schemas.openxmlformats.org/officeDocument/2006/relationships/hyperlink" Id="rId123" Target="https://doi.org/10.1098/rstb.2019.0707" TargetMode="External" /><Relationship Type="http://schemas.openxmlformats.org/officeDocument/2006/relationships/hyperlink" Id="rId155" Target="https://doi.org/10.1098/rstb.2019.0714" TargetMode="External" /><Relationship Type="http://schemas.openxmlformats.org/officeDocument/2006/relationships/hyperlink" Id="rId137"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42"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30" Target="https://doi.org/10.17863/CAM.79042" TargetMode="External" /><Relationship Type="http://schemas.openxmlformats.org/officeDocument/2006/relationships/hyperlink" Id="rId162" Target="https://doi.org/10.21237/C7clio6127917" TargetMode="External" /><Relationship Type="http://schemas.openxmlformats.org/officeDocument/2006/relationships/hyperlink" Id="rId144" Target="https://doi.org/10.2307/277689" TargetMode="External" /><Relationship Type="http://schemas.openxmlformats.org/officeDocument/2006/relationships/hyperlink" Id="rId150" Target="https://doi.org/10.2307/281060" TargetMode="External" /><Relationship Type="http://schemas.openxmlformats.org/officeDocument/2006/relationships/hyperlink" Id="rId152" Target="https://doi.org/10.3378/027.081.0311" TargetMode="External" /><Relationship Type="http://schemas.openxmlformats.org/officeDocument/2006/relationships/hyperlink" Id="rId120" Target="https://doi.org/10.5169/SEALS-392483" TargetMode="External" /><Relationship Type="http://schemas.openxmlformats.org/officeDocument/2006/relationships/hyperlink" Id="rId139"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8" Target="https://journals.uair.arizona.edu/index.php/radiocarbon/article/download/1690/1694" TargetMode="External" /><Relationship Type="http://schemas.openxmlformats.org/officeDocument/2006/relationships/hyperlink" Id="rId146"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34" Target="https://doi.org/10.1016/B978-0-12-405888-0.09999-2" TargetMode="External" /><Relationship Type="http://schemas.openxmlformats.org/officeDocument/2006/relationships/hyperlink" Id="rId160"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8" Target="https://doi.org/10.1038/ncomms3486" TargetMode="External" /><Relationship Type="http://schemas.openxmlformats.org/officeDocument/2006/relationships/hyperlink" Id="rId132" Target="https://doi.org/10.1073/pnas.1324000111" TargetMode="External" /><Relationship Type="http://schemas.openxmlformats.org/officeDocument/2006/relationships/hyperlink" Id="rId123" Target="https://doi.org/10.1098/rstb.2019.0707" TargetMode="External" /><Relationship Type="http://schemas.openxmlformats.org/officeDocument/2006/relationships/hyperlink" Id="rId155" Target="https://doi.org/10.1098/rstb.2019.0714" TargetMode="External" /><Relationship Type="http://schemas.openxmlformats.org/officeDocument/2006/relationships/hyperlink" Id="rId137"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42"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30" Target="https://doi.org/10.17863/CAM.79042" TargetMode="External" /><Relationship Type="http://schemas.openxmlformats.org/officeDocument/2006/relationships/hyperlink" Id="rId162" Target="https://doi.org/10.21237/C7clio6127917" TargetMode="External" /><Relationship Type="http://schemas.openxmlformats.org/officeDocument/2006/relationships/hyperlink" Id="rId144" Target="https://doi.org/10.2307/277689" TargetMode="External" /><Relationship Type="http://schemas.openxmlformats.org/officeDocument/2006/relationships/hyperlink" Id="rId150" Target="https://doi.org/10.2307/281060" TargetMode="External" /><Relationship Type="http://schemas.openxmlformats.org/officeDocument/2006/relationships/hyperlink" Id="rId152" Target="https://doi.org/10.3378/027.081.0311" TargetMode="External" /><Relationship Type="http://schemas.openxmlformats.org/officeDocument/2006/relationships/hyperlink" Id="rId120" Target="https://doi.org/10.5169/SEALS-392483" TargetMode="External" /><Relationship Type="http://schemas.openxmlformats.org/officeDocument/2006/relationships/hyperlink" Id="rId139"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8" Target="https://journals.uair.arizona.edu/index.php/radiocarbon/article/download/1690/1694" TargetMode="External" /><Relationship Type="http://schemas.openxmlformats.org/officeDocument/2006/relationships/hyperlink" Id="rId146"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2022-05-28T08:19:54Z</dcterms:created>
  <dcterms:modified xsi:type="dcterms:W3CDTF">2022-05-28T08:19:54Z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(7000–1000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28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(7000–1000 BCE)</vt:lpwstr>
  </property>
  <property fmtid="{D5CDD505-2E9C-101B-9397-08002B2CF9AE}" pid="7" name="output">
    <vt:lpwstr/>
  </property>
</Properties>
</file>